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059F47B4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196AA712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D34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10988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810988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0243BAA" w:rsidR="00F92268" w:rsidRPr="00810988" w:rsidRDefault="007F2740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810988">
              <w:rPr>
                <w:rFonts w:cs="Arial"/>
                <w:sz w:val="16"/>
                <w:szCs w:val="16"/>
              </w:rPr>
              <w:t>2426-A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B130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63515229" w14:textId="14D08FFD" w:rsidR="00402A48" w:rsidRPr="00402A48" w:rsidRDefault="00E5484C" w:rsidP="00402A48">
      <w:pPr>
        <w:pStyle w:val="Heading1"/>
      </w:pPr>
      <w:r w:rsidRPr="00E5484C">
        <w:t>S</w:t>
      </w:r>
      <w:r w:rsidR="001F5E9D" w:rsidRPr="00E5484C">
        <w:t>pecialty</w:t>
      </w:r>
      <w:r w:rsidRPr="00E5484C">
        <w:t xml:space="preserve"> G</w:t>
      </w:r>
      <w:r w:rsidR="007B63E0" w:rsidRPr="00E5484C">
        <w:t>uideline</w:t>
      </w:r>
      <w:r w:rsidRPr="00E5484C">
        <w:t xml:space="preserve"> M</w:t>
      </w:r>
      <w:r w:rsidR="007B63E0" w:rsidRPr="00E5484C">
        <w:t>anagement</w:t>
      </w:r>
      <w:r w:rsidR="008C54D9" w:rsidRPr="00BD1CC1">
        <w:br/>
      </w:r>
      <w:proofErr w:type="spellStart"/>
      <w:r w:rsidR="000A07C6" w:rsidRPr="000A07C6">
        <w:t>tasimelteon</w:t>
      </w:r>
      <w:r w:rsidR="00894CDB">
        <w:t>-</w:t>
      </w:r>
      <w:r w:rsidR="00BB00C8" w:rsidRPr="00BB00C8">
        <w:t>H</w:t>
      </w:r>
      <w:r w:rsidR="00BB00C8">
        <w:t>etlioz</w:t>
      </w:r>
      <w:r w:rsidR="00894CDB">
        <w:t>-</w:t>
      </w:r>
      <w:r w:rsidR="00B15C8C">
        <w:t>Hetlioz</w:t>
      </w:r>
      <w:proofErr w:type="spellEnd"/>
      <w:r w:rsidR="00B15C8C">
        <w:t xml:space="preserve"> L</w:t>
      </w:r>
      <w:r w:rsidR="00626FBC">
        <w:t>Q</w:t>
      </w:r>
    </w:p>
    <w:p w14:paraId="55CCF4F4" w14:textId="5F631EE3" w:rsidR="00810988" w:rsidRPr="00BD1CC1" w:rsidRDefault="00810988" w:rsidP="00810988">
      <w:pPr>
        <w:pStyle w:val="Heading2"/>
      </w:pPr>
      <w:r w:rsidRPr="00BD1CC1">
        <w:t>Products Referenced by this Document</w:t>
      </w:r>
    </w:p>
    <w:p w14:paraId="32DE2961" w14:textId="0C668CEE" w:rsidR="00810988" w:rsidRPr="00BD1CC1" w:rsidRDefault="00810988" w:rsidP="00810988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B06AB7">
        <w:t>Over-the-counter (</w:t>
      </w:r>
      <w:r w:rsidRPr="00BD1CC1">
        <w:t>OTC</w:t>
      </w:r>
      <w:r w:rsidR="00B06AB7">
        <w:t>)</w:t>
      </w:r>
      <w:r w:rsidRPr="00BD1CC1">
        <w:t xml:space="preserve"> products are not included unless otherwise stated.</w:t>
      </w:r>
    </w:p>
    <w:tbl>
      <w:tblPr>
        <w:tblStyle w:val="TableGrid"/>
        <w:tblW w:w="1040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01"/>
        <w:gridCol w:w="5201"/>
      </w:tblGrid>
      <w:tr w:rsidR="00AC3190" w:rsidRPr="00BD1CC1" w14:paraId="233914CC" w14:textId="39040FC7" w:rsidTr="00CD22CE">
        <w:trPr>
          <w:cantSplit/>
          <w:trHeight w:val="328"/>
          <w:tblHeader/>
        </w:trPr>
        <w:tc>
          <w:tcPr>
            <w:tcW w:w="5201" w:type="dxa"/>
            <w:vAlign w:val="center"/>
          </w:tcPr>
          <w:p w14:paraId="0FE647EE" w14:textId="77777777" w:rsidR="00AC3190" w:rsidRPr="00BD1CC1" w:rsidRDefault="00AC3190" w:rsidP="00366589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201" w:type="dxa"/>
            <w:vAlign w:val="center"/>
          </w:tcPr>
          <w:p w14:paraId="10623933" w14:textId="77777777" w:rsidR="00AC3190" w:rsidRPr="00BD1CC1" w:rsidRDefault="00AC3190" w:rsidP="00366589">
            <w:pPr>
              <w:pStyle w:val="TableHeader"/>
            </w:pPr>
            <w:r w:rsidRPr="00BD1CC1">
              <w:t>Generic Name</w:t>
            </w:r>
          </w:p>
        </w:tc>
      </w:tr>
      <w:tr w:rsidR="00AC3190" w:rsidRPr="00BD1CC1" w14:paraId="3346D9B5" w14:textId="01889170" w:rsidTr="00CD22CE">
        <w:trPr>
          <w:cantSplit/>
          <w:trHeight w:val="328"/>
        </w:trPr>
        <w:tc>
          <w:tcPr>
            <w:tcW w:w="5201" w:type="dxa"/>
          </w:tcPr>
          <w:p w14:paraId="5FDFA395" w14:textId="4C03677B" w:rsidR="00AC3190" w:rsidRPr="00BD1CC1" w:rsidRDefault="00AC3190" w:rsidP="00366589">
            <w:pPr>
              <w:pStyle w:val="TableDataUnpadded"/>
            </w:pPr>
            <w:proofErr w:type="spellStart"/>
            <w:r w:rsidRPr="00810988">
              <w:t>Hetlioz</w:t>
            </w:r>
            <w:proofErr w:type="spellEnd"/>
          </w:p>
        </w:tc>
        <w:tc>
          <w:tcPr>
            <w:tcW w:w="5201" w:type="dxa"/>
          </w:tcPr>
          <w:p w14:paraId="2193844A" w14:textId="31CD2646" w:rsidR="00AC3190" w:rsidRPr="00810988" w:rsidRDefault="00AC3190" w:rsidP="00810988">
            <w:pPr>
              <w:pStyle w:val="TableDataUnpadded"/>
            </w:pPr>
            <w:proofErr w:type="spellStart"/>
            <w:r w:rsidRPr="00810988">
              <w:t>tasimelteon</w:t>
            </w:r>
            <w:proofErr w:type="spellEnd"/>
          </w:p>
        </w:tc>
      </w:tr>
      <w:tr w:rsidR="00AC3190" w:rsidRPr="00BD1CC1" w14:paraId="04E92D69" w14:textId="4DC95127" w:rsidTr="00CD22CE">
        <w:trPr>
          <w:cantSplit/>
          <w:trHeight w:val="328"/>
        </w:trPr>
        <w:tc>
          <w:tcPr>
            <w:tcW w:w="5201" w:type="dxa"/>
          </w:tcPr>
          <w:p w14:paraId="401AD1E4" w14:textId="30619F79" w:rsidR="00AC3190" w:rsidRPr="00BD1CC1" w:rsidRDefault="00AC3190" w:rsidP="00366589">
            <w:pPr>
              <w:pStyle w:val="TableDataUnpadded"/>
            </w:pPr>
            <w:proofErr w:type="spellStart"/>
            <w:r w:rsidRPr="00810988">
              <w:t>Hetlioz</w:t>
            </w:r>
            <w:proofErr w:type="spellEnd"/>
            <w:r w:rsidRPr="00810988">
              <w:t xml:space="preserve"> L</w:t>
            </w:r>
            <w:r>
              <w:t>Q</w:t>
            </w:r>
          </w:p>
        </w:tc>
        <w:tc>
          <w:tcPr>
            <w:tcW w:w="5201" w:type="dxa"/>
          </w:tcPr>
          <w:p w14:paraId="5FF2E933" w14:textId="26420A26" w:rsidR="00AC3190" w:rsidRPr="00BD1CC1" w:rsidRDefault="00AC3190" w:rsidP="00366589">
            <w:pPr>
              <w:pStyle w:val="TableDataUnpadded"/>
            </w:pPr>
            <w:proofErr w:type="spellStart"/>
            <w:r w:rsidRPr="00810988">
              <w:t>tasimelteon</w:t>
            </w:r>
            <w:proofErr w:type="spellEnd"/>
          </w:p>
        </w:tc>
      </w:tr>
    </w:tbl>
    <w:bookmarkEnd w:id="0"/>
    <w:p w14:paraId="14CE6108" w14:textId="5D02F39A" w:rsidR="00FC1AAD" w:rsidRDefault="00ED052F" w:rsidP="00ED052F">
      <w:pPr>
        <w:pStyle w:val="Heading2"/>
      </w:pPr>
      <w:r>
        <w:t>Indications</w:t>
      </w:r>
    </w:p>
    <w:p w14:paraId="019FE252" w14:textId="77777777" w:rsidR="002E20DB" w:rsidRPr="00C0246E" w:rsidRDefault="002E20DB" w:rsidP="002E20DB">
      <w:pPr>
        <w:pStyle w:val="BodyText"/>
      </w:pPr>
      <w:r w:rsidRPr="00C0246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548457E" w:rsidR="00ED052F" w:rsidRPr="00BD1CC1" w:rsidRDefault="00ED052F" w:rsidP="00ED052F">
      <w:pPr>
        <w:pStyle w:val="Heading3"/>
        <w:keepNext w:val="0"/>
      </w:pPr>
      <w:r w:rsidRPr="00BD1CC1">
        <w:t>FDA-</w:t>
      </w:r>
      <w:r w:rsidR="00E731BF">
        <w:t>A</w:t>
      </w:r>
      <w:r w:rsidRPr="00BD1CC1">
        <w:t>pproved Indications</w:t>
      </w:r>
      <w:r w:rsidR="00B06AB7" w:rsidRPr="00423C9D">
        <w:rPr>
          <w:vertAlign w:val="superscript"/>
        </w:rPr>
        <w:t>1,2</w:t>
      </w:r>
    </w:p>
    <w:p w14:paraId="11FD2CD2" w14:textId="509ED7DA" w:rsidR="003D5B29" w:rsidRPr="00DD59F1" w:rsidRDefault="003D5B29" w:rsidP="00E731BF">
      <w:pPr>
        <w:pStyle w:val="Heading4"/>
      </w:pPr>
      <w:r w:rsidRPr="00DD59F1">
        <w:t>Non-24-Hour Sleep-Wake Disorder (Non-24):</w:t>
      </w:r>
    </w:p>
    <w:p w14:paraId="441FFEF1" w14:textId="56ABD212" w:rsidR="003D5B29" w:rsidRDefault="003D5B29" w:rsidP="00E731BF">
      <w:pPr>
        <w:pStyle w:val="BodyText"/>
      </w:pPr>
      <w:proofErr w:type="spellStart"/>
      <w:r>
        <w:t>Hetlioz</w:t>
      </w:r>
      <w:proofErr w:type="spellEnd"/>
      <w:r>
        <w:t xml:space="preserve"> capsules are indicated for the treatment of Non-24 in adults.</w:t>
      </w:r>
    </w:p>
    <w:p w14:paraId="1A8449FB" w14:textId="78CBA14E" w:rsidR="003D5B29" w:rsidRPr="00E731BF" w:rsidRDefault="003D5B29" w:rsidP="00E731BF">
      <w:pPr>
        <w:pStyle w:val="Heading4"/>
      </w:pPr>
      <w:r w:rsidRPr="00E731BF">
        <w:t>Nighttime Sleep Disturbances in Smith-</w:t>
      </w:r>
      <w:proofErr w:type="spellStart"/>
      <w:r w:rsidRPr="00E731BF">
        <w:t>Magenis</w:t>
      </w:r>
      <w:proofErr w:type="spellEnd"/>
      <w:r w:rsidRPr="00E731BF">
        <w:t xml:space="preserve"> Syndrome (SMS):</w:t>
      </w:r>
    </w:p>
    <w:p w14:paraId="1E39309F" w14:textId="7526A6F2" w:rsidR="003D5B29" w:rsidRDefault="003D5B29" w:rsidP="00626FBC">
      <w:pPr>
        <w:pStyle w:val="ListParagraph"/>
        <w:numPr>
          <w:ilvl w:val="0"/>
          <w:numId w:val="20"/>
        </w:numPr>
      </w:pPr>
      <w:proofErr w:type="spellStart"/>
      <w:r>
        <w:t>Hetlioz</w:t>
      </w:r>
      <w:proofErr w:type="spellEnd"/>
      <w:r>
        <w:t xml:space="preserve"> capsules are indicated for treatment of nighttime sleep disturbances in SMS in patients 16 years of age and older.</w:t>
      </w:r>
    </w:p>
    <w:p w14:paraId="130AFF55" w14:textId="36F828BE" w:rsidR="003D5B29" w:rsidRDefault="003D5B29" w:rsidP="00626FBC">
      <w:pPr>
        <w:pStyle w:val="ListParagraph"/>
        <w:numPr>
          <w:ilvl w:val="0"/>
          <w:numId w:val="20"/>
        </w:numPr>
        <w:spacing w:after="120"/>
      </w:pPr>
      <w:proofErr w:type="spellStart"/>
      <w:r>
        <w:t>Hetlioz</w:t>
      </w:r>
      <w:proofErr w:type="spellEnd"/>
      <w:r>
        <w:t xml:space="preserve"> LQ oral suspension is indicated for the treatment of nighttime sleep disturbances in SMS in pediatric patients 3 to 15 years of age.</w:t>
      </w:r>
    </w:p>
    <w:p w14:paraId="3058A5F8" w14:textId="1FBC8E5A" w:rsidR="005C778C" w:rsidRPr="00255903" w:rsidRDefault="003D5B29" w:rsidP="003D5B29">
      <w:r>
        <w:t>All other indications are considered experimental/investigational and not medically necessary.</w:t>
      </w:r>
    </w:p>
    <w:p w14:paraId="36381B6D" w14:textId="0BD13F48" w:rsidR="000D2496" w:rsidRPr="00BD1CC1" w:rsidRDefault="000D2496" w:rsidP="00731975">
      <w:pPr>
        <w:pStyle w:val="Heading2"/>
        <w:tabs>
          <w:tab w:val="left" w:pos="9105"/>
        </w:tabs>
      </w:pPr>
      <w:r w:rsidRPr="00BD1CC1">
        <w:lastRenderedPageBreak/>
        <w:t>Documentation</w:t>
      </w:r>
    </w:p>
    <w:p w14:paraId="332536ED" w14:textId="52AD9718" w:rsidR="00456EEE" w:rsidRPr="00456EEE" w:rsidRDefault="001C316F" w:rsidP="00F61061">
      <w:pPr>
        <w:pStyle w:val="BodyText"/>
      </w:pPr>
      <w:r>
        <w:t>Submission of t</w:t>
      </w:r>
      <w:r w:rsidR="00456EEE" w:rsidRPr="00456EEE">
        <w:t>he following information is necessary to initiate the prior authorization review:</w:t>
      </w:r>
    </w:p>
    <w:p w14:paraId="107E67B7" w14:textId="1C9A7AF4" w:rsidR="00456EEE" w:rsidRPr="00E731BF" w:rsidRDefault="00456EEE" w:rsidP="008E13F7">
      <w:pPr>
        <w:pStyle w:val="Heading3"/>
      </w:pPr>
      <w:r w:rsidRPr="008E13F7">
        <w:t>For</w:t>
      </w:r>
      <w:r w:rsidRPr="00E731BF">
        <w:t xml:space="preserve"> initial </w:t>
      </w:r>
      <w:r w:rsidR="00152D07">
        <w:t>requests</w:t>
      </w:r>
      <w:r w:rsidRPr="00E731BF">
        <w:t>, chart notes or test results to support one of the following:</w:t>
      </w:r>
    </w:p>
    <w:p w14:paraId="0A21BC45" w14:textId="62DE399F" w:rsidR="00456EEE" w:rsidRPr="00456EEE" w:rsidRDefault="00456EEE" w:rsidP="00626FBC">
      <w:pPr>
        <w:pStyle w:val="ListParagraph"/>
        <w:numPr>
          <w:ilvl w:val="0"/>
          <w:numId w:val="20"/>
        </w:numPr>
      </w:pPr>
      <w:r w:rsidRPr="00456EEE">
        <w:t>Total blindness in both eyes</w:t>
      </w:r>
      <w:r w:rsidR="009C3082">
        <w:t xml:space="preserve"> </w:t>
      </w:r>
      <w:r w:rsidR="00A977ED">
        <w:t xml:space="preserve">for Non-24 Hour Sleep-Wake </w:t>
      </w:r>
      <w:r w:rsidR="0030558C">
        <w:t>D</w:t>
      </w:r>
      <w:r w:rsidR="00A977ED">
        <w:t>isorder (Non-24)</w:t>
      </w:r>
    </w:p>
    <w:p w14:paraId="7BF4BECE" w14:textId="088304F5" w:rsidR="00456EEE" w:rsidRPr="00456EEE" w:rsidRDefault="00456EEE" w:rsidP="00626FBC">
      <w:pPr>
        <w:pStyle w:val="ListParagraph"/>
        <w:numPr>
          <w:ilvl w:val="0"/>
          <w:numId w:val="20"/>
        </w:numPr>
      </w:pPr>
      <w:r w:rsidRPr="00456EEE">
        <w:t>Smith-</w:t>
      </w:r>
      <w:proofErr w:type="spellStart"/>
      <w:r w:rsidRPr="00456EEE">
        <w:t>Magenis</w:t>
      </w:r>
      <w:proofErr w:type="spellEnd"/>
      <w:r w:rsidRPr="00456EEE">
        <w:t xml:space="preserve"> Syndrome.</w:t>
      </w:r>
    </w:p>
    <w:p w14:paraId="4333FA9F" w14:textId="6BB79F76" w:rsidR="00456EEE" w:rsidRPr="008E13F7" w:rsidRDefault="00456EEE" w:rsidP="008E13F7">
      <w:pPr>
        <w:pStyle w:val="Heading3"/>
      </w:pPr>
      <w:r w:rsidRPr="008E13F7">
        <w:t xml:space="preserve">For continuation </w:t>
      </w:r>
      <w:r w:rsidR="009D32FF">
        <w:t>requests</w:t>
      </w:r>
      <w:r w:rsidRPr="008E13F7">
        <w:t>, documentation to support one of the following:</w:t>
      </w:r>
    </w:p>
    <w:p w14:paraId="10F39ABA" w14:textId="298D3C7B" w:rsidR="00456EEE" w:rsidRPr="00456EEE" w:rsidRDefault="00456EEE" w:rsidP="00626FBC">
      <w:pPr>
        <w:pStyle w:val="ListParagraph"/>
        <w:numPr>
          <w:ilvl w:val="0"/>
          <w:numId w:val="20"/>
        </w:numPr>
      </w:pPr>
      <w:r w:rsidRPr="00456EEE">
        <w:t>For Non-24-Hour Sleep-Wake Disorder, both of the following:</w:t>
      </w:r>
    </w:p>
    <w:p w14:paraId="2A1FA9C4" w14:textId="23EAF2B2" w:rsidR="00456EEE" w:rsidRPr="00456EEE" w:rsidRDefault="00456EEE" w:rsidP="00626FBC">
      <w:pPr>
        <w:pStyle w:val="ListParagraph"/>
        <w:numPr>
          <w:ilvl w:val="1"/>
          <w:numId w:val="20"/>
        </w:numPr>
      </w:pPr>
      <w:r w:rsidRPr="00456EEE">
        <w:t>Chart notes or test results confirming total blindness in both eyes</w:t>
      </w:r>
    </w:p>
    <w:p w14:paraId="468788A9" w14:textId="11DBF417" w:rsidR="00456EEE" w:rsidRDefault="00456EEE" w:rsidP="008926A9">
      <w:pPr>
        <w:pStyle w:val="ListParagraph"/>
        <w:numPr>
          <w:ilvl w:val="1"/>
          <w:numId w:val="20"/>
        </w:numPr>
      </w:pPr>
      <w:r w:rsidRPr="00456EEE">
        <w:t>An increased total nighttime sleep and/or decreased daytime nap duration</w:t>
      </w:r>
    </w:p>
    <w:p w14:paraId="589299CE" w14:textId="2ED88345" w:rsidR="00456EEE" w:rsidRPr="00456EEE" w:rsidRDefault="00456EEE" w:rsidP="00626FBC">
      <w:pPr>
        <w:pStyle w:val="ListParagraph"/>
        <w:numPr>
          <w:ilvl w:val="0"/>
          <w:numId w:val="20"/>
        </w:numPr>
      </w:pPr>
      <w:r w:rsidRPr="00456EEE">
        <w:t>For nighttime sleep disturbances in Smith-</w:t>
      </w:r>
      <w:proofErr w:type="spellStart"/>
      <w:r w:rsidRPr="00456EEE">
        <w:t>Magenis</w:t>
      </w:r>
      <w:proofErr w:type="spellEnd"/>
      <w:r w:rsidRPr="00456EEE">
        <w:t xml:space="preserve"> syndrome</w:t>
      </w:r>
      <w:r w:rsidR="006A75E6">
        <w:t>, both of the following</w:t>
      </w:r>
      <w:r w:rsidRPr="00456EEE">
        <w:t>:</w:t>
      </w:r>
    </w:p>
    <w:p w14:paraId="2F442224" w14:textId="3F5B3902" w:rsidR="00456EEE" w:rsidRPr="00456EEE" w:rsidRDefault="00456EEE" w:rsidP="00626FBC">
      <w:pPr>
        <w:pStyle w:val="ListParagraph"/>
        <w:numPr>
          <w:ilvl w:val="1"/>
          <w:numId w:val="20"/>
        </w:numPr>
      </w:pPr>
      <w:r w:rsidRPr="00456EEE">
        <w:t>Chart notes or test results confirming Smith-</w:t>
      </w:r>
      <w:proofErr w:type="spellStart"/>
      <w:r w:rsidRPr="00456EEE">
        <w:t>Magenis</w:t>
      </w:r>
      <w:proofErr w:type="spellEnd"/>
      <w:r w:rsidRPr="00456EEE">
        <w:t xml:space="preserve"> Syndrome</w:t>
      </w:r>
    </w:p>
    <w:p w14:paraId="38653CF7" w14:textId="6100B449" w:rsidR="00456EEE" w:rsidRPr="00F61061" w:rsidRDefault="00456EEE" w:rsidP="008926A9">
      <w:pPr>
        <w:pStyle w:val="ListParagraph"/>
        <w:numPr>
          <w:ilvl w:val="1"/>
          <w:numId w:val="20"/>
        </w:numPr>
      </w:pPr>
      <w:r w:rsidRPr="00456EEE">
        <w:t>Improvement in quality of sleep such as improvement in sleep efficiency, sleep onset and final sleep offset, or waking after sleep onset.</w:t>
      </w:r>
    </w:p>
    <w:p w14:paraId="4A5B15F8" w14:textId="305F97E6" w:rsidR="00006174" w:rsidRPr="00AA1E6A" w:rsidRDefault="00006174" w:rsidP="00006174">
      <w:pPr>
        <w:pStyle w:val="Heading2"/>
      </w:pPr>
      <w:r w:rsidRPr="00BD1CC1">
        <w:t>Prescriber Specialties</w:t>
      </w:r>
    </w:p>
    <w:p w14:paraId="65A12794" w14:textId="5E530E6C" w:rsidR="000D5101" w:rsidRPr="00AA1E6A" w:rsidRDefault="00D37B65" w:rsidP="00E731BF">
      <w:pPr>
        <w:pStyle w:val="BodyText"/>
      </w:pPr>
      <w:r w:rsidRPr="00D37B65">
        <w:t>This medication must be prescribed by or in consultation with a sleep specialist (e.g., neurologist experienced with sleep disorders, physician certified in sleep medicine) or psychiatrist.</w:t>
      </w:r>
    </w:p>
    <w:p w14:paraId="50A38FBA" w14:textId="42733C4A" w:rsidR="00FE0C63" w:rsidRPr="00E731BF" w:rsidRDefault="00BD400C" w:rsidP="00E050E1">
      <w:pPr>
        <w:pStyle w:val="Heading2"/>
      </w:pPr>
      <w:r w:rsidRPr="00BD400C">
        <w:t>Coverage Criteria</w:t>
      </w:r>
    </w:p>
    <w:p w14:paraId="19C6AD3A" w14:textId="406ECCB5" w:rsidR="00F07DF2" w:rsidRDefault="00F07DF2" w:rsidP="00731975">
      <w:pPr>
        <w:pStyle w:val="Heading3"/>
        <w:rPr>
          <w:b/>
        </w:rPr>
      </w:pPr>
      <w:r w:rsidRPr="00F07DF2">
        <w:t>Non-24-Hour Sleep-Wake Disorde</w:t>
      </w:r>
      <w:r>
        <w:t>r</w:t>
      </w:r>
      <w:r w:rsidR="00474D70" w:rsidRPr="00423C9D">
        <w:rPr>
          <w:vertAlign w:val="superscript"/>
        </w:rPr>
        <w:t>1-3</w:t>
      </w:r>
    </w:p>
    <w:p w14:paraId="01A97866" w14:textId="0831E808" w:rsidR="00F07DF2" w:rsidRDefault="0043734A" w:rsidP="00F07DF2">
      <w:pPr>
        <w:pStyle w:val="BodyText"/>
      </w:pPr>
      <w:r w:rsidRPr="0043734A">
        <w:t>Authorization of 6 months may be granted for treatment of Non-24-Hour Sleep-Wake Disorder when all of the following criteria are met:</w:t>
      </w:r>
    </w:p>
    <w:p w14:paraId="622BECAA" w14:textId="335D2418" w:rsidR="0043734A" w:rsidRDefault="0043734A" w:rsidP="00626FBC">
      <w:pPr>
        <w:pStyle w:val="ListParagraph"/>
        <w:numPr>
          <w:ilvl w:val="0"/>
          <w:numId w:val="20"/>
        </w:numPr>
      </w:pPr>
      <w:r>
        <w:t>The member has a diagnosis of total blindness in both eyes (e.g., nonfunctioning retinas).</w:t>
      </w:r>
    </w:p>
    <w:p w14:paraId="4A2321BB" w14:textId="173E84EA" w:rsidR="0043734A" w:rsidRDefault="0043734A" w:rsidP="00626FBC">
      <w:pPr>
        <w:pStyle w:val="ListParagraph"/>
        <w:numPr>
          <w:ilvl w:val="0"/>
          <w:numId w:val="20"/>
        </w:numPr>
      </w:pPr>
      <w:r>
        <w:t>The member is not able to perceive light in either eye.</w:t>
      </w:r>
    </w:p>
    <w:p w14:paraId="5CA9AF75" w14:textId="547DB077" w:rsidR="0043734A" w:rsidRDefault="0043734A" w:rsidP="00626FBC">
      <w:pPr>
        <w:pStyle w:val="ListParagraph"/>
        <w:numPr>
          <w:ilvl w:val="0"/>
          <w:numId w:val="20"/>
        </w:numPr>
      </w:pPr>
      <w:r>
        <w:t>The member is experiencing difficulty initiating sleep, difficulty awakening in the morning, or excessive daytime sleepiness.</w:t>
      </w:r>
    </w:p>
    <w:p w14:paraId="59674A34" w14:textId="25A266D8" w:rsidR="00D8383A" w:rsidRPr="003A5CD2" w:rsidRDefault="00D8383A" w:rsidP="00731975">
      <w:pPr>
        <w:pStyle w:val="Heading3"/>
      </w:pPr>
      <w:r w:rsidRPr="003A5CD2">
        <w:lastRenderedPageBreak/>
        <w:t>Nighttime Sleep Disturbances in Smith-</w:t>
      </w:r>
      <w:proofErr w:type="spellStart"/>
      <w:r w:rsidRPr="003A5CD2">
        <w:t>Magenis</w:t>
      </w:r>
      <w:proofErr w:type="spellEnd"/>
      <w:r w:rsidRPr="003A5CD2">
        <w:t xml:space="preserve"> Syndrome (SMS)</w:t>
      </w:r>
      <w:r w:rsidR="00FA474C" w:rsidRPr="00423C9D">
        <w:rPr>
          <w:vertAlign w:val="superscript"/>
        </w:rPr>
        <w:t>1</w:t>
      </w:r>
    </w:p>
    <w:p w14:paraId="2FDA7625" w14:textId="63548C76" w:rsidR="00D8383A" w:rsidRDefault="00D8383A" w:rsidP="00731975">
      <w:pPr>
        <w:pStyle w:val="BodyText"/>
        <w:keepNext/>
        <w:keepLines/>
      </w:pPr>
      <w:r>
        <w:t>Authorization of 6 months may be granted for the treatment of nighttime sleep disturbances in Smith-</w:t>
      </w:r>
      <w:proofErr w:type="spellStart"/>
      <w:r>
        <w:t>Magenis</w:t>
      </w:r>
      <w:proofErr w:type="spellEnd"/>
      <w:r>
        <w:t xml:space="preserve"> Syndrome (SMS) when all of the following criteria are met:</w:t>
      </w:r>
    </w:p>
    <w:p w14:paraId="0EE7EFAC" w14:textId="3D9D8620" w:rsidR="00D8383A" w:rsidRDefault="00D8383A" w:rsidP="00626FBC">
      <w:pPr>
        <w:pStyle w:val="ListParagraph"/>
        <w:numPr>
          <w:ilvl w:val="0"/>
          <w:numId w:val="20"/>
        </w:numPr>
      </w:pPr>
      <w:r>
        <w:t>The member has a confirmed clinical diagnosis of Smith-</w:t>
      </w:r>
      <w:proofErr w:type="spellStart"/>
      <w:r>
        <w:t>Magenis</w:t>
      </w:r>
      <w:proofErr w:type="spellEnd"/>
      <w:r>
        <w:t xml:space="preserve"> syndrome.</w:t>
      </w:r>
    </w:p>
    <w:p w14:paraId="77A0AB10" w14:textId="72E24ADC" w:rsidR="00C64301" w:rsidRPr="00F07DF2" w:rsidRDefault="00D8383A" w:rsidP="00626FBC">
      <w:pPr>
        <w:pStyle w:val="ListParagraph"/>
        <w:numPr>
          <w:ilvl w:val="0"/>
          <w:numId w:val="20"/>
        </w:numPr>
      </w:pPr>
      <w:r>
        <w:t>The member has a history of sleep disturbances.</w:t>
      </w:r>
    </w:p>
    <w:p w14:paraId="3A643EC3" w14:textId="5F2F4BBF" w:rsidR="00A501AC" w:rsidRDefault="00A501AC" w:rsidP="00A501AC">
      <w:pPr>
        <w:pStyle w:val="Heading2"/>
      </w:pPr>
      <w:r w:rsidRPr="00BD1CC1">
        <w:t>Continuation of Therapy</w:t>
      </w:r>
    </w:p>
    <w:p w14:paraId="3A28A06D" w14:textId="15D63828" w:rsidR="00731975" w:rsidRPr="00731975" w:rsidRDefault="00731975" w:rsidP="00731975">
      <w:pPr>
        <w:pStyle w:val="Heading3"/>
      </w:pPr>
      <w:r w:rsidRPr="00731975">
        <w:t>Non-24-Hour Sleep-Wake Disorder</w:t>
      </w:r>
      <w:r w:rsidR="005425F5" w:rsidRPr="00423C9D">
        <w:rPr>
          <w:vertAlign w:val="superscript"/>
        </w:rPr>
        <w:t>1-3</w:t>
      </w:r>
    </w:p>
    <w:p w14:paraId="439F35D0" w14:textId="4F6562FB" w:rsidR="00731975" w:rsidRPr="00731975" w:rsidRDefault="00731975" w:rsidP="00731975">
      <w:pPr>
        <w:pStyle w:val="BodyText"/>
      </w:pPr>
      <w:r w:rsidRPr="00731975">
        <w:t>Authorization of 12 months may be granted for treatment of Non-24-Hour Sleep-Wake Disorder when all of the following criteria are met:</w:t>
      </w:r>
    </w:p>
    <w:p w14:paraId="4DE03997" w14:textId="5994D82C" w:rsidR="00731975" w:rsidRPr="00731975" w:rsidRDefault="00731975" w:rsidP="00626FBC">
      <w:pPr>
        <w:pStyle w:val="ListParagraph"/>
        <w:numPr>
          <w:ilvl w:val="0"/>
          <w:numId w:val="20"/>
        </w:numPr>
      </w:pPr>
      <w:r w:rsidRPr="00731975">
        <w:t>The member has a diagnosis of total blindness in both eyes (e.g., nonfunctioning retinas).</w:t>
      </w:r>
    </w:p>
    <w:p w14:paraId="2E0E2535" w14:textId="0924E708" w:rsidR="00731975" w:rsidRPr="00731975" w:rsidRDefault="00731975" w:rsidP="00626FBC">
      <w:pPr>
        <w:pStyle w:val="ListParagraph"/>
        <w:numPr>
          <w:ilvl w:val="0"/>
          <w:numId w:val="20"/>
        </w:numPr>
      </w:pPr>
      <w:r w:rsidRPr="00731975">
        <w:t>The member is not able to perceive light in either eye.</w:t>
      </w:r>
    </w:p>
    <w:p w14:paraId="6FB62370" w14:textId="62503FCA" w:rsidR="00731975" w:rsidRPr="00731975" w:rsidRDefault="00731975" w:rsidP="008926A9">
      <w:pPr>
        <w:pStyle w:val="ListParagraph"/>
        <w:numPr>
          <w:ilvl w:val="0"/>
          <w:numId w:val="20"/>
        </w:numPr>
      </w:pPr>
      <w:r w:rsidRPr="00731975">
        <w:t xml:space="preserve">The member </w:t>
      </w:r>
      <w:r w:rsidR="00B9747A">
        <w:t xml:space="preserve">experiences </w:t>
      </w:r>
      <w:r w:rsidRPr="00731975">
        <w:t xml:space="preserve"> increased total nighttime sleep and/or decreased daytime nap duration.</w:t>
      </w:r>
    </w:p>
    <w:p w14:paraId="2BB15DC4" w14:textId="3BAC18A0" w:rsidR="00731975" w:rsidRPr="00731975" w:rsidRDefault="00731975" w:rsidP="00731975">
      <w:pPr>
        <w:pStyle w:val="Heading3"/>
      </w:pPr>
      <w:r w:rsidRPr="00731975">
        <w:t>Nighttime Sleep Disturbances in Smith-</w:t>
      </w:r>
      <w:proofErr w:type="spellStart"/>
      <w:r w:rsidRPr="00731975">
        <w:t>Magenis</w:t>
      </w:r>
      <w:proofErr w:type="spellEnd"/>
      <w:r w:rsidRPr="00731975">
        <w:t xml:space="preserve"> Syndrome (SMS)</w:t>
      </w:r>
      <w:r w:rsidR="005425F5" w:rsidRPr="00423C9D">
        <w:rPr>
          <w:vertAlign w:val="superscript"/>
        </w:rPr>
        <w:t>1</w:t>
      </w:r>
    </w:p>
    <w:p w14:paraId="4E66F53B" w14:textId="54398FB6" w:rsidR="00731975" w:rsidRPr="00731975" w:rsidRDefault="00731975" w:rsidP="00731975">
      <w:pPr>
        <w:pStyle w:val="BodyText"/>
      </w:pPr>
      <w:r w:rsidRPr="00731975">
        <w:t>Authorization of 12 months may be granted for treatment of nighttime sleep disturbances in Smith-</w:t>
      </w:r>
      <w:proofErr w:type="spellStart"/>
      <w:r w:rsidRPr="00731975">
        <w:t>Magenis</w:t>
      </w:r>
      <w:proofErr w:type="spellEnd"/>
      <w:r w:rsidRPr="00731975">
        <w:t xml:space="preserve"> syndrome if the member experiences improvement in the quality of sleep since starting therapy with </w:t>
      </w:r>
      <w:r w:rsidR="00AE05F8">
        <w:t>the requested drug</w:t>
      </w:r>
      <w:r w:rsidRPr="00731975">
        <w:t>.</w:t>
      </w:r>
    </w:p>
    <w:p w14:paraId="17409917" w14:textId="3D105592" w:rsidR="00C96B3F" w:rsidRPr="008D1B34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066EA4E3" w14:textId="3F4B0DF0" w:rsidR="00731975" w:rsidRDefault="00731975" w:rsidP="00626FBC">
      <w:pPr>
        <w:pStyle w:val="ReferenceOrdered"/>
        <w:keepNext w:val="0"/>
        <w:numPr>
          <w:ilvl w:val="0"/>
          <w:numId w:val="21"/>
        </w:numPr>
        <w:ind w:left="360"/>
      </w:pPr>
      <w:proofErr w:type="spellStart"/>
      <w:r w:rsidRPr="00731975">
        <w:t>Hetlioz</w:t>
      </w:r>
      <w:proofErr w:type="spellEnd"/>
      <w:r w:rsidRPr="00731975">
        <w:t xml:space="preserve"> [package insert]. Washington, D.C.: Vanda Pharmaceuticals Inc.; January 2023.</w:t>
      </w:r>
    </w:p>
    <w:p w14:paraId="2F4AB94E" w14:textId="470159E9" w:rsidR="00E751A6" w:rsidRPr="00731975" w:rsidRDefault="009F0427" w:rsidP="00626FBC">
      <w:pPr>
        <w:pStyle w:val="ReferenceOrdered"/>
        <w:keepNext w:val="0"/>
        <w:numPr>
          <w:ilvl w:val="0"/>
          <w:numId w:val="21"/>
        </w:numPr>
        <w:ind w:left="360"/>
      </w:pPr>
      <w:proofErr w:type="spellStart"/>
      <w:r w:rsidRPr="009F0427">
        <w:t>Tasimelteon</w:t>
      </w:r>
      <w:proofErr w:type="spellEnd"/>
      <w:r w:rsidRPr="009F0427">
        <w:t xml:space="preserve"> [package insert]. Bridgewater, NJ: </w:t>
      </w:r>
      <w:proofErr w:type="spellStart"/>
      <w:r w:rsidRPr="009F0427">
        <w:t>Amneal</w:t>
      </w:r>
      <w:proofErr w:type="spellEnd"/>
      <w:r w:rsidRPr="009F0427">
        <w:t xml:space="preserve"> Pharmaceuticals</w:t>
      </w:r>
      <w:r w:rsidR="006A71C8">
        <w:t xml:space="preserve"> LLC</w:t>
      </w:r>
      <w:r w:rsidRPr="009F0427">
        <w:t>; January 2023</w:t>
      </w:r>
      <w:r>
        <w:t>.</w:t>
      </w:r>
    </w:p>
    <w:p w14:paraId="47E1A10C" w14:textId="3E010DEB" w:rsidR="00C44990" w:rsidRDefault="00731975" w:rsidP="00626FBC">
      <w:pPr>
        <w:pStyle w:val="ReferenceOrdered"/>
        <w:keepNext w:val="0"/>
        <w:numPr>
          <w:ilvl w:val="0"/>
          <w:numId w:val="21"/>
        </w:numPr>
        <w:spacing w:after="120"/>
        <w:ind w:left="360"/>
      </w:pPr>
      <w:bookmarkStart w:id="5" w:name="OLE_LINK1"/>
      <w:r w:rsidRPr="00882354">
        <w:rPr>
          <w:lang w:val="de-DE"/>
        </w:rPr>
        <w:t xml:space="preserve">Auger, Robert R, Burgess, Helen J, et al. </w:t>
      </w:r>
      <w:bookmarkStart w:id="6" w:name="OLE_LINK6"/>
      <w:r w:rsidRPr="00882354">
        <w:rPr>
          <w:lang w:val="de-DE"/>
        </w:rPr>
        <w:t xml:space="preserve">Clinical Practice Guideline for the Treatment of Intrinsic Circadian Rhythm Sleep-Wake Disorders: </w:t>
      </w:r>
      <w:bookmarkStart w:id="7" w:name="OLE_LINK2"/>
      <w:r w:rsidRPr="00882354">
        <w:rPr>
          <w:lang w:val="de-DE"/>
        </w:rPr>
        <w:t>Advanced Sleep-Wake Phase Disorder (ASWPD), Delayed Sleep-Wake Phase Disorder (DSWPD), Non-24-Hour Sleep-Wake Rhythm Disorder (N24SWD), and Irregular Sleep-Wake Rhythm Disorder (ISWRD)</w:t>
      </w:r>
      <w:bookmarkEnd w:id="6"/>
      <w:r w:rsidRPr="00882354">
        <w:rPr>
          <w:lang w:val="de-DE"/>
        </w:rPr>
        <w:t xml:space="preserve">. </w:t>
      </w:r>
      <w:r w:rsidRPr="00731975">
        <w:t>An Update for 2015: An American Academy of Sleep Medicine Clinical Practice Guideline</w:t>
      </w:r>
      <w:bookmarkEnd w:id="7"/>
      <w:r w:rsidRPr="00731975">
        <w:t>. J Clin Sleep Med. 2015 Oct;11(10):1199-236</w:t>
      </w:r>
      <w:bookmarkEnd w:id="5"/>
      <w:r w:rsidRPr="00731975">
        <w:t>.</w:t>
      </w:r>
    </w:p>
    <w:sectPr w:rsidR="00C44990" w:rsidSect="00423C9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C97C" w14:textId="77777777" w:rsidR="003861E7" w:rsidRDefault="003861E7">
      <w:r>
        <w:separator/>
      </w:r>
    </w:p>
  </w:endnote>
  <w:endnote w:type="continuationSeparator" w:id="0">
    <w:p w14:paraId="03231DA8" w14:textId="77777777" w:rsidR="003861E7" w:rsidRDefault="003861E7">
      <w:r>
        <w:continuationSeparator/>
      </w:r>
    </w:p>
  </w:endnote>
  <w:endnote w:type="continuationNotice" w:id="1">
    <w:p w14:paraId="1F84963A" w14:textId="77777777" w:rsidR="003861E7" w:rsidRDefault="00386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645B" w14:textId="562F246B" w:rsidR="00731975" w:rsidRPr="00EC47B6" w:rsidRDefault="00731975" w:rsidP="0073197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0334E">
      <w:rPr>
        <w:rFonts w:cs="Arial"/>
        <w:noProof/>
        <w:snapToGrid w:val="0"/>
        <w:color w:val="000000"/>
        <w:sz w:val="16"/>
        <w:szCs w:val="16"/>
      </w:rPr>
      <w:t>tasimelteon-Hetlioz-Hetlioz LQ</w:t>
    </w:r>
    <w:r w:rsidR="0090334E" w:rsidRPr="0090334E">
      <w:rPr>
        <w:rFonts w:cs="Arial"/>
        <w:noProof/>
        <w:sz w:val="16"/>
        <w:szCs w:val="16"/>
      </w:rPr>
      <w:t xml:space="preserve"> SGM</w:t>
    </w:r>
    <w:r w:rsidR="0090334E">
      <w:rPr>
        <w:rFonts w:cs="Arial"/>
        <w:noProof/>
        <w:snapToGrid w:val="0"/>
        <w:color w:val="000000"/>
        <w:sz w:val="16"/>
        <w:szCs w:val="16"/>
      </w:rPr>
      <w:t xml:space="preserve"> 2426-A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0558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5CB4CB0D" w14:textId="6994F489" w:rsidR="00731975" w:rsidRPr="00EC47B6" w:rsidRDefault="00731975" w:rsidP="0073197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E2C1BFD" w14:textId="3A451090" w:rsidR="00731975" w:rsidRPr="00AA1E6A" w:rsidRDefault="00731975" w:rsidP="00423C9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C778D" w14:textId="4C8FC4FA" w:rsidR="00731975" w:rsidRPr="00EC47B6" w:rsidRDefault="00731975" w:rsidP="0073197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0334E">
      <w:rPr>
        <w:rFonts w:cs="Arial"/>
        <w:noProof/>
        <w:snapToGrid w:val="0"/>
        <w:color w:val="000000"/>
        <w:sz w:val="16"/>
        <w:szCs w:val="16"/>
      </w:rPr>
      <w:t>tasimelteon-Hetlioz-Hetlioz LQ</w:t>
    </w:r>
    <w:r w:rsidR="0090334E" w:rsidRPr="0090334E">
      <w:rPr>
        <w:rFonts w:cs="Arial"/>
        <w:noProof/>
        <w:sz w:val="16"/>
        <w:szCs w:val="16"/>
      </w:rPr>
      <w:t xml:space="preserve"> SGM</w:t>
    </w:r>
    <w:r w:rsidR="0090334E">
      <w:rPr>
        <w:rFonts w:cs="Arial"/>
        <w:noProof/>
        <w:snapToGrid w:val="0"/>
        <w:color w:val="000000"/>
        <w:sz w:val="16"/>
        <w:szCs w:val="16"/>
      </w:rPr>
      <w:t xml:space="preserve"> 2426-A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C319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0E35250" w14:textId="241FF20F" w:rsidR="00731975" w:rsidRPr="00EC47B6" w:rsidRDefault="00731975" w:rsidP="0073197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2C5C037" w14:textId="36C3BE97" w:rsidR="00731975" w:rsidRPr="00AA1E6A" w:rsidRDefault="00731975" w:rsidP="00423C9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78911" w14:textId="77777777" w:rsidR="003861E7" w:rsidRDefault="003861E7">
      <w:r>
        <w:separator/>
      </w:r>
    </w:p>
  </w:footnote>
  <w:footnote w:type="continuationSeparator" w:id="0">
    <w:p w14:paraId="08535AF1" w14:textId="77777777" w:rsidR="003861E7" w:rsidRDefault="003861E7">
      <w:r>
        <w:continuationSeparator/>
      </w:r>
    </w:p>
  </w:footnote>
  <w:footnote w:type="continuationNotice" w:id="1">
    <w:p w14:paraId="736E7851" w14:textId="77777777" w:rsidR="003861E7" w:rsidRDefault="00386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31975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31975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0C0095E" w:rsidR="00ED04EC" w:rsidRPr="00731975" w:rsidRDefault="00731975" w:rsidP="00ED04EC">
          <w:pPr>
            <w:pStyle w:val="Header"/>
            <w:rPr>
              <w:rFonts w:cs="Arial"/>
              <w:sz w:val="16"/>
              <w:szCs w:val="16"/>
            </w:rPr>
          </w:pPr>
          <w:r w:rsidRPr="00810988">
            <w:rPr>
              <w:rFonts w:cs="Arial"/>
              <w:sz w:val="16"/>
              <w:szCs w:val="16"/>
            </w:rPr>
            <w:t>2426-A</w:t>
          </w:r>
        </w:p>
      </w:tc>
    </w:tr>
  </w:tbl>
  <w:p w14:paraId="0D5ACCC2" w14:textId="462A1075" w:rsidR="00ED04EC" w:rsidRPr="00423C9D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54089B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54089B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C8041FF" w:rsidR="000F5383" w:rsidRPr="0054089B" w:rsidRDefault="0054089B" w:rsidP="000F5383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54089B">
            <w:rPr>
              <w:rFonts w:cs="Arial"/>
              <w:sz w:val="16"/>
              <w:szCs w:val="16"/>
            </w:rPr>
            <w:t>2426-A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086638"/>
    <w:multiLevelType w:val="hybridMultilevel"/>
    <w:tmpl w:val="259E70F4"/>
    <w:lvl w:ilvl="0" w:tplc="0C989D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486F8">
      <w:start w:val="1"/>
      <w:numFmt w:val="decimal"/>
      <w:lvlText w:val="%2."/>
      <w:lvlJc w:val="left"/>
      <w:pPr>
        <w:ind w:left="1800" w:hanging="360"/>
      </w:pPr>
      <w:rPr>
        <w:rFonts w:ascii="Symbol" w:hAnsi="Symbol"/>
      </w:rPr>
    </w:lvl>
    <w:lvl w:ilvl="2" w:tplc="38CC6D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1CA6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7324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808F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DF65E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5C9D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360D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D382B"/>
    <w:multiLevelType w:val="hybridMultilevel"/>
    <w:tmpl w:val="06E613BE"/>
    <w:lvl w:ilvl="0" w:tplc="9E7CA4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11CFE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186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47AC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789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580C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DC295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6F05D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7D256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44D20156"/>
    <w:multiLevelType w:val="hybridMultilevel"/>
    <w:tmpl w:val="C29ED95E"/>
    <w:lvl w:ilvl="0" w:tplc="714E45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0641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7689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087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4127B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47052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D30C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5C0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9180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48DF4D2C"/>
    <w:multiLevelType w:val="hybridMultilevel"/>
    <w:tmpl w:val="C2DAD8A4"/>
    <w:lvl w:ilvl="0" w:tplc="C9020A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9251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656D7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D666E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5407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582E6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9078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0AA54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346A7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7A4639"/>
    <w:multiLevelType w:val="hybridMultilevel"/>
    <w:tmpl w:val="CAE677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E6167"/>
    <w:multiLevelType w:val="hybridMultilevel"/>
    <w:tmpl w:val="15CA3D2E"/>
    <w:lvl w:ilvl="0" w:tplc="680887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E28E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95E9D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C8EA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220B1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814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9646E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3E413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410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776E13D7"/>
    <w:multiLevelType w:val="hybridMultilevel"/>
    <w:tmpl w:val="A7F28342"/>
    <w:lvl w:ilvl="0" w:tplc="088400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D327D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86CB7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12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ABE0F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4D253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4608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FBE49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ECC1B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33713"/>
    <w:multiLevelType w:val="hybridMultilevel"/>
    <w:tmpl w:val="14124C44"/>
    <w:lvl w:ilvl="0" w:tplc="2EFCCF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22AB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904D0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F8E0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4D6C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5062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1896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A58DF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CDA57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11589570">
    <w:abstractNumId w:val="20"/>
  </w:num>
  <w:num w:numId="3" w16cid:durableId="766777065">
    <w:abstractNumId w:val="9"/>
  </w:num>
  <w:num w:numId="4" w16cid:durableId="1191800873">
    <w:abstractNumId w:val="7"/>
  </w:num>
  <w:num w:numId="5" w16cid:durableId="1946840854">
    <w:abstractNumId w:val="6"/>
  </w:num>
  <w:num w:numId="6" w16cid:durableId="857428209">
    <w:abstractNumId w:val="5"/>
  </w:num>
  <w:num w:numId="7" w16cid:durableId="1566572940">
    <w:abstractNumId w:val="4"/>
  </w:num>
  <w:num w:numId="8" w16cid:durableId="1775905588">
    <w:abstractNumId w:val="8"/>
  </w:num>
  <w:num w:numId="9" w16cid:durableId="1108695228">
    <w:abstractNumId w:val="3"/>
  </w:num>
  <w:num w:numId="10" w16cid:durableId="200215697">
    <w:abstractNumId w:val="2"/>
  </w:num>
  <w:num w:numId="11" w16cid:durableId="414789896">
    <w:abstractNumId w:val="1"/>
  </w:num>
  <w:num w:numId="12" w16cid:durableId="1872957897">
    <w:abstractNumId w:val="0"/>
  </w:num>
  <w:num w:numId="13" w16cid:durableId="1653175460">
    <w:abstractNumId w:val="13"/>
  </w:num>
  <w:num w:numId="14" w16cid:durableId="616722934">
    <w:abstractNumId w:val="11"/>
  </w:num>
  <w:num w:numId="15" w16cid:durableId="898320195">
    <w:abstractNumId w:val="16"/>
  </w:num>
  <w:num w:numId="16" w16cid:durableId="2128498676">
    <w:abstractNumId w:val="25"/>
  </w:num>
  <w:num w:numId="17" w16cid:durableId="299724409">
    <w:abstractNumId w:val="22"/>
  </w:num>
  <w:num w:numId="18" w16cid:durableId="214585573">
    <w:abstractNumId w:val="15"/>
  </w:num>
  <w:num w:numId="19" w16cid:durableId="1066490929">
    <w:abstractNumId w:val="27"/>
  </w:num>
  <w:num w:numId="20" w16cid:durableId="1340082595">
    <w:abstractNumId w:val="21"/>
  </w:num>
  <w:num w:numId="21" w16cid:durableId="1216894261">
    <w:abstractNumId w:val="10"/>
  </w:num>
  <w:num w:numId="22" w16cid:durableId="730545319">
    <w:abstractNumId w:val="14"/>
  </w:num>
  <w:num w:numId="23" w16cid:durableId="752429471">
    <w:abstractNumId w:val="19"/>
  </w:num>
  <w:num w:numId="24" w16cid:durableId="1405568983">
    <w:abstractNumId w:val="18"/>
  </w:num>
  <w:num w:numId="25" w16cid:durableId="778642083">
    <w:abstractNumId w:val="26"/>
  </w:num>
  <w:num w:numId="26" w16cid:durableId="281544930">
    <w:abstractNumId w:val="23"/>
  </w:num>
  <w:num w:numId="27" w16cid:durableId="269048502">
    <w:abstractNumId w:val="24"/>
  </w:num>
  <w:num w:numId="28" w16cid:durableId="1148129084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2F11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0EE5"/>
    <w:rsid w:val="000913DE"/>
    <w:rsid w:val="00091E1D"/>
    <w:rsid w:val="00093AB5"/>
    <w:rsid w:val="00094A59"/>
    <w:rsid w:val="00095B9C"/>
    <w:rsid w:val="0009781E"/>
    <w:rsid w:val="000A07C6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30F"/>
    <w:rsid w:val="000B1961"/>
    <w:rsid w:val="000B20CD"/>
    <w:rsid w:val="000B40A1"/>
    <w:rsid w:val="000B4566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3D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0F0C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2728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D07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B7ECB"/>
    <w:rsid w:val="001C1C00"/>
    <w:rsid w:val="001C1C5D"/>
    <w:rsid w:val="001C2409"/>
    <w:rsid w:val="001C316F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201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E9D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67A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0BA"/>
    <w:rsid w:val="00277212"/>
    <w:rsid w:val="002773DB"/>
    <w:rsid w:val="00277791"/>
    <w:rsid w:val="002777DF"/>
    <w:rsid w:val="00277886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4A1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26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4C3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0DB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FB1"/>
    <w:rsid w:val="002F5F01"/>
    <w:rsid w:val="002F6300"/>
    <w:rsid w:val="0030016D"/>
    <w:rsid w:val="00301F62"/>
    <w:rsid w:val="00302DBD"/>
    <w:rsid w:val="003030D7"/>
    <w:rsid w:val="00304F20"/>
    <w:rsid w:val="00305223"/>
    <w:rsid w:val="0030558C"/>
    <w:rsid w:val="00305A72"/>
    <w:rsid w:val="00305BDF"/>
    <w:rsid w:val="00305F83"/>
    <w:rsid w:val="00306B2E"/>
    <w:rsid w:val="003070FF"/>
    <w:rsid w:val="00307499"/>
    <w:rsid w:val="00307DCC"/>
    <w:rsid w:val="00311173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85D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5E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1E7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5CD2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2CF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5B29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1A1D"/>
    <w:rsid w:val="00402A48"/>
    <w:rsid w:val="00402C8F"/>
    <w:rsid w:val="00402FED"/>
    <w:rsid w:val="00403087"/>
    <w:rsid w:val="004032A5"/>
    <w:rsid w:val="0040594C"/>
    <w:rsid w:val="00405C5D"/>
    <w:rsid w:val="004079FC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A1A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3C9D"/>
    <w:rsid w:val="00425453"/>
    <w:rsid w:val="00425E47"/>
    <w:rsid w:val="004260D4"/>
    <w:rsid w:val="004260DE"/>
    <w:rsid w:val="0042761F"/>
    <w:rsid w:val="00427B15"/>
    <w:rsid w:val="00430B2F"/>
    <w:rsid w:val="00431634"/>
    <w:rsid w:val="00431A2D"/>
    <w:rsid w:val="00431A7E"/>
    <w:rsid w:val="00431D2B"/>
    <w:rsid w:val="00431EB7"/>
    <w:rsid w:val="00433A31"/>
    <w:rsid w:val="00433E3A"/>
    <w:rsid w:val="00433EE2"/>
    <w:rsid w:val="004357BB"/>
    <w:rsid w:val="00435A60"/>
    <w:rsid w:val="0043734A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24A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6EEE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67F42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D70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6FDD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0B4F"/>
    <w:rsid w:val="004D0E3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983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73EE"/>
    <w:rsid w:val="005108E8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665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089B"/>
    <w:rsid w:val="0054123C"/>
    <w:rsid w:val="005425F5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6CEC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EA1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3DEF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C7F01"/>
    <w:rsid w:val="005D0CD7"/>
    <w:rsid w:val="005D0ED8"/>
    <w:rsid w:val="005D14DC"/>
    <w:rsid w:val="005D154E"/>
    <w:rsid w:val="005D1B57"/>
    <w:rsid w:val="005D2B9F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649"/>
    <w:rsid w:val="005E6A1A"/>
    <w:rsid w:val="005F0A5B"/>
    <w:rsid w:val="005F10FC"/>
    <w:rsid w:val="005F1564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6F36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6FBC"/>
    <w:rsid w:val="006278F4"/>
    <w:rsid w:val="00627B98"/>
    <w:rsid w:val="00631305"/>
    <w:rsid w:val="00631F71"/>
    <w:rsid w:val="006320FD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5F3F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AF5"/>
    <w:rsid w:val="00666FFD"/>
    <w:rsid w:val="00667755"/>
    <w:rsid w:val="00667944"/>
    <w:rsid w:val="0067096D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4DC6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1C8"/>
    <w:rsid w:val="006A75E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78D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B60"/>
    <w:rsid w:val="006E0743"/>
    <w:rsid w:val="006E08C9"/>
    <w:rsid w:val="006E09C3"/>
    <w:rsid w:val="006E18ED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975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09F"/>
    <w:rsid w:val="007A543E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3E0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740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740"/>
    <w:rsid w:val="007F280C"/>
    <w:rsid w:val="007F2FAC"/>
    <w:rsid w:val="007F349F"/>
    <w:rsid w:val="007F475E"/>
    <w:rsid w:val="007F5139"/>
    <w:rsid w:val="007F5BA5"/>
    <w:rsid w:val="007F6891"/>
    <w:rsid w:val="00801D9D"/>
    <w:rsid w:val="00801FD8"/>
    <w:rsid w:val="00802917"/>
    <w:rsid w:val="00802E1E"/>
    <w:rsid w:val="00804124"/>
    <w:rsid w:val="0080421C"/>
    <w:rsid w:val="00804456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8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35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981"/>
    <w:rsid w:val="00835A0B"/>
    <w:rsid w:val="008366DA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4FE6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354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65"/>
    <w:rsid w:val="00887E71"/>
    <w:rsid w:val="00890CE6"/>
    <w:rsid w:val="00891958"/>
    <w:rsid w:val="008926A9"/>
    <w:rsid w:val="00892A08"/>
    <w:rsid w:val="008943CF"/>
    <w:rsid w:val="008945D6"/>
    <w:rsid w:val="008945E8"/>
    <w:rsid w:val="00894CDB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1E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055"/>
    <w:rsid w:val="008E06A5"/>
    <w:rsid w:val="008E07BA"/>
    <w:rsid w:val="008E0BDD"/>
    <w:rsid w:val="008E0F0D"/>
    <w:rsid w:val="008E1130"/>
    <w:rsid w:val="008E13F7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34E"/>
    <w:rsid w:val="00903866"/>
    <w:rsid w:val="009050C0"/>
    <w:rsid w:val="0090528C"/>
    <w:rsid w:val="00905466"/>
    <w:rsid w:val="00905918"/>
    <w:rsid w:val="00905D51"/>
    <w:rsid w:val="00905F65"/>
    <w:rsid w:val="00906ED2"/>
    <w:rsid w:val="00907628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4DB0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2E7B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024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DA9"/>
    <w:rsid w:val="0099311D"/>
    <w:rsid w:val="00993552"/>
    <w:rsid w:val="00993B81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08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2DD4"/>
    <w:rsid w:val="009D32FF"/>
    <w:rsid w:val="009D60F4"/>
    <w:rsid w:val="009D6686"/>
    <w:rsid w:val="009D668E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427"/>
    <w:rsid w:val="009F0845"/>
    <w:rsid w:val="009F1E96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CCF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340"/>
    <w:rsid w:val="00A70D4D"/>
    <w:rsid w:val="00A719BF"/>
    <w:rsid w:val="00A7382E"/>
    <w:rsid w:val="00A73BA2"/>
    <w:rsid w:val="00A73BDF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A73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7ED"/>
    <w:rsid w:val="00AA0497"/>
    <w:rsid w:val="00AA0955"/>
    <w:rsid w:val="00AA1699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5C7"/>
    <w:rsid w:val="00AB3600"/>
    <w:rsid w:val="00AB3A4C"/>
    <w:rsid w:val="00AB3ACD"/>
    <w:rsid w:val="00AB3B7A"/>
    <w:rsid w:val="00AB41F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0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05F8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AF6FF5"/>
    <w:rsid w:val="00B00963"/>
    <w:rsid w:val="00B01716"/>
    <w:rsid w:val="00B01BDE"/>
    <w:rsid w:val="00B02279"/>
    <w:rsid w:val="00B027EC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AB7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5C8C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10"/>
    <w:rsid w:val="00B2719B"/>
    <w:rsid w:val="00B27A30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5F2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47A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0C8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82D"/>
    <w:rsid w:val="00BC79A6"/>
    <w:rsid w:val="00BD07B4"/>
    <w:rsid w:val="00BD1CC1"/>
    <w:rsid w:val="00BD2A68"/>
    <w:rsid w:val="00BD2E54"/>
    <w:rsid w:val="00BD400C"/>
    <w:rsid w:val="00BD5061"/>
    <w:rsid w:val="00BD589A"/>
    <w:rsid w:val="00BD5D53"/>
    <w:rsid w:val="00BD672B"/>
    <w:rsid w:val="00BD6ED4"/>
    <w:rsid w:val="00BE181E"/>
    <w:rsid w:val="00BE1A32"/>
    <w:rsid w:val="00BE1FD3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1A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26E"/>
    <w:rsid w:val="00C31248"/>
    <w:rsid w:val="00C31D09"/>
    <w:rsid w:val="00C3224B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301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0B6A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348E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C77FB"/>
    <w:rsid w:val="00CD03D0"/>
    <w:rsid w:val="00CD04D5"/>
    <w:rsid w:val="00CD0DB7"/>
    <w:rsid w:val="00CD1B5B"/>
    <w:rsid w:val="00CD22CE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116"/>
    <w:rsid w:val="00CF08AB"/>
    <w:rsid w:val="00CF0FEE"/>
    <w:rsid w:val="00CF2208"/>
    <w:rsid w:val="00CF2D11"/>
    <w:rsid w:val="00CF322E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B65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0B0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83A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C67"/>
    <w:rsid w:val="00DB793D"/>
    <w:rsid w:val="00DC1591"/>
    <w:rsid w:val="00DC2163"/>
    <w:rsid w:val="00DC2997"/>
    <w:rsid w:val="00DC3267"/>
    <w:rsid w:val="00DC34C2"/>
    <w:rsid w:val="00DC3529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59F1"/>
    <w:rsid w:val="00DD64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FFD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D34"/>
    <w:rsid w:val="00E25EA1"/>
    <w:rsid w:val="00E25FBE"/>
    <w:rsid w:val="00E26712"/>
    <w:rsid w:val="00E2682A"/>
    <w:rsid w:val="00E27447"/>
    <w:rsid w:val="00E275D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484C"/>
    <w:rsid w:val="00E54CB4"/>
    <w:rsid w:val="00E5515A"/>
    <w:rsid w:val="00E552B0"/>
    <w:rsid w:val="00E55E94"/>
    <w:rsid w:val="00E5648B"/>
    <w:rsid w:val="00E56F98"/>
    <w:rsid w:val="00E60126"/>
    <w:rsid w:val="00E60E9A"/>
    <w:rsid w:val="00E61AD9"/>
    <w:rsid w:val="00E625E8"/>
    <w:rsid w:val="00E62DE9"/>
    <w:rsid w:val="00E630B7"/>
    <w:rsid w:val="00E634DA"/>
    <w:rsid w:val="00E6537C"/>
    <w:rsid w:val="00E654E5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1BF"/>
    <w:rsid w:val="00E738B8"/>
    <w:rsid w:val="00E744D4"/>
    <w:rsid w:val="00E74F5E"/>
    <w:rsid w:val="00E751A6"/>
    <w:rsid w:val="00E75553"/>
    <w:rsid w:val="00E7561A"/>
    <w:rsid w:val="00E75C87"/>
    <w:rsid w:val="00E76EC8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26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DF2"/>
    <w:rsid w:val="00F07EE5"/>
    <w:rsid w:val="00F102A6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4E91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A07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061"/>
    <w:rsid w:val="00F6121D"/>
    <w:rsid w:val="00F6150C"/>
    <w:rsid w:val="00F6152B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776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74C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103D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666AF5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19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66AF5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2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3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4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5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6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7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8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9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0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1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2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3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4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5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8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6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7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D0300D42-8A54-44FE-BED7-215BBBC2A098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tasimelteon-Hetlioz-Hetlioz LQ SGM 2426-A</vt:lpstr>
    </vt:vector>
  </TitlesOfParts>
  <Company>CVS Caremark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tasimelteon-Hetlioz-Hetlioz LQ SGM 2426-A</dc:title>
  <dc:subject>tasimelteon-Hetlioz-Hetlioz LQ SGM 2426-A</dc:subject>
  <dc:creator>CVS Caremark</dc:creator>
  <cp:keywords/>
  <cp:lastModifiedBy>Reynoso, Victor H</cp:lastModifiedBy>
  <cp:revision>7</cp:revision>
  <cp:lastPrinted>2024-04-04T09:49:00Z</cp:lastPrinted>
  <dcterms:created xsi:type="dcterms:W3CDTF">2024-12-17T15:39:00Z</dcterms:created>
  <dcterms:modified xsi:type="dcterms:W3CDTF">2025-05-05T19:53:00Z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